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23ED9CD" w:rsidR="00630C60" w:rsidRPr="00A07762" w:rsidRDefault="00871F5E" w:rsidP="00736CCA">
            <w:pPr>
              <w:pStyle w:val="TableParagraph"/>
              <w:spacing w:before="198"/>
              <w:ind w:left="18"/>
              <w:jc w:val="center"/>
              <w:rPr>
                <w:b/>
                <w:sz w:val="20"/>
                <w:szCs w:val="20"/>
              </w:rPr>
            </w:pPr>
            <w:r w:rsidRPr="00A07762">
              <w:rPr>
                <w:b/>
                <w:sz w:val="20"/>
                <w:szCs w:val="20"/>
              </w:rPr>
              <w:t xml:space="preserve">ANKARA YILDIRIM BEYAZIT ÜNIVERSITESI – </w:t>
            </w:r>
            <w:r w:rsidR="001239B3">
              <w:rPr>
                <w:b/>
                <w:sz w:val="20"/>
                <w:szCs w:val="20"/>
                <w:lang w:val="en-US"/>
              </w:rPr>
              <w:t xml:space="preserve">TÜRK DİN MUSİKİSİ </w:t>
            </w:r>
            <w:r w:rsidRPr="00A07762">
              <w:rPr>
                <w:b/>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2529ACDB" w:rsidR="001A6C88" w:rsidRPr="001A6C88" w:rsidRDefault="001A6C88" w:rsidP="001A6C88">
            <w:pPr>
              <w:pStyle w:val="TableParagraph"/>
              <w:ind w:left="62" w:right="47"/>
              <w:jc w:val="center"/>
              <w:rPr>
                <w:sz w:val="20"/>
              </w:rPr>
            </w:pPr>
            <w:r w:rsidRPr="001A6C88">
              <w:rPr>
                <w:sz w:val="20"/>
              </w:rPr>
              <w:t>K</w:t>
            </w:r>
            <w:r w:rsidR="001239B3">
              <w:rPr>
                <w:sz w:val="20"/>
              </w:rPr>
              <w:t>ON</w:t>
            </w:r>
            <w:r w:rsidR="00036ECC">
              <w:rPr>
                <w:sz w:val="20"/>
              </w:rPr>
              <w:t>2</w:t>
            </w:r>
            <w:r w:rsidR="00A00F61">
              <w:rPr>
                <w:sz w:val="20"/>
              </w:rPr>
              <w:t>4</w:t>
            </w:r>
            <w:r w:rsidR="005821E7">
              <w:rPr>
                <w:sz w:val="20"/>
              </w:rPr>
              <w:t>6</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DBDAE5C" w:rsidR="00867237" w:rsidRPr="00A07762" w:rsidRDefault="00A00F61" w:rsidP="00423F35">
            <w:pPr>
              <w:pStyle w:val="TableParagraph"/>
              <w:ind w:left="14"/>
              <w:jc w:val="center"/>
              <w:rPr>
                <w:sz w:val="20"/>
              </w:rPr>
            </w:pPr>
            <w:r>
              <w:rPr>
                <w:sz w:val="20"/>
              </w:rPr>
              <w:t>Türk Müziği Formları</w:t>
            </w:r>
            <w:r w:rsidR="005821E7">
              <w:rPr>
                <w:sz w:val="20"/>
              </w:rPr>
              <w:t xml:space="preserve"> II</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31AF9F10" w:rsidR="00867237" w:rsidRPr="00A07762" w:rsidRDefault="00867237" w:rsidP="00867237">
            <w:pPr>
              <w:pStyle w:val="TableParagraph"/>
              <w:jc w:val="both"/>
              <w:rPr>
                <w:b/>
                <w:bCs/>
                <w:sz w:val="20"/>
              </w:rPr>
            </w:pPr>
            <w:r w:rsidRPr="00A07762">
              <w:rPr>
                <w:b/>
                <w:bCs/>
                <w:sz w:val="20"/>
              </w:rPr>
              <w:t xml:space="preserve">  </w:t>
            </w:r>
            <w:r w:rsidR="00A94370">
              <w:rPr>
                <w:b/>
                <w:bCs/>
                <w:sz w:val="20"/>
              </w:rPr>
              <w:t>Pazartesi 13.30-14.30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w:t>
            </w:r>
            <w:proofErr w:type="gramStart"/>
            <w:r w:rsidRPr="006554EE">
              <w:rPr>
                <w:iCs/>
                <w:sz w:val="20"/>
              </w:rPr>
              <w:t>İzmir.&lt;</w:t>
            </w:r>
            <w:proofErr w:type="gramEnd"/>
            <w:r w:rsidRPr="006554EE">
              <w:rPr>
                <w:iCs/>
                <w:sz w:val="20"/>
              </w:rPr>
              <w:t xml:space="preserve">BR&gt;Karadeniz M.E. (1965) Türk Musikisinin Nazariye ve Esasları, </w:t>
            </w:r>
            <w:proofErr w:type="gramStart"/>
            <w:r w:rsidRPr="006554EE">
              <w:rPr>
                <w:iCs/>
                <w:sz w:val="20"/>
              </w:rPr>
              <w:t>Ankara.&lt;</w:t>
            </w:r>
            <w:proofErr w:type="gramEnd"/>
            <w:r w:rsidRPr="006554EE">
              <w:rPr>
                <w:iCs/>
                <w:sz w:val="20"/>
              </w:rPr>
              <w: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w:t>
            </w:r>
            <w:proofErr w:type="gramStart"/>
            <w:r w:rsidRPr="006554EE">
              <w:rPr>
                <w:iCs/>
                <w:sz w:val="20"/>
              </w:rPr>
              <w:t>Ankara.&lt;</w:t>
            </w:r>
            <w:proofErr w:type="gramEnd"/>
            <w:r w:rsidRPr="006554EE">
              <w:rPr>
                <w:iCs/>
                <w:sz w:val="20"/>
              </w:rPr>
              <w: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 xml:space="preserve">Usulleri, </w:t>
            </w:r>
            <w:proofErr w:type="gramStart"/>
            <w:r w:rsidRPr="006554EE">
              <w:rPr>
                <w:iCs/>
                <w:sz w:val="20"/>
              </w:rPr>
              <w:t>İstanbul.&lt;</w:t>
            </w:r>
            <w:proofErr w:type="gramEnd"/>
            <w:r w:rsidRPr="006554EE">
              <w:rPr>
                <w:iCs/>
                <w:sz w:val="20"/>
              </w:rPr>
              <w: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 xml:space="preserve">Makam kavramının Geleneksel Türk Müziği'nin tüm unsurlarındaki bütünleştirici </w:t>
                  </w:r>
                  <w:proofErr w:type="gramStart"/>
                  <w:r w:rsidRPr="000E63CC">
                    <w:t>rolünü,</w:t>
                  </w:r>
                  <w:proofErr w:type="gramEnd"/>
                  <w:r w:rsidRPr="000E63CC">
                    <w:t xml:space="preserve">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proofErr w:type="gramStart"/>
                  <w:r w:rsidRPr="006554EE">
                    <w:rPr>
                      <w:sz w:val="20"/>
                      <w:szCs w:val="20"/>
                    </w:rPr>
                    <w:t>bilgiler;Türk</w:t>
                  </w:r>
                  <w:proofErr w:type="spellEnd"/>
                  <w:proofErr w:type="gram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proofErr w:type="gramStart"/>
                  <w:r w:rsidRPr="006554EE">
                    <w:rPr>
                      <w:sz w:val="20"/>
                      <w:szCs w:val="20"/>
                    </w:rPr>
                    <w:t>bilgi;Türk</w:t>
                  </w:r>
                  <w:proofErr w:type="spellEnd"/>
                  <w:proofErr w:type="gram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w:t>
                  </w:r>
                  <w:proofErr w:type="gramStart"/>
                  <w:r>
                    <w:t>Usuller -</w:t>
                  </w:r>
                  <w:proofErr w:type="gramEnd"/>
                  <w:r>
                    <w:t xml:space="preserve"> Nim Sofyan</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Küçük Usuller – Sofyan</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239B3"/>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21E7"/>
    <w:rsid w:val="005833E5"/>
    <w:rsid w:val="00597347"/>
    <w:rsid w:val="00630C60"/>
    <w:rsid w:val="006339D8"/>
    <w:rsid w:val="006554EE"/>
    <w:rsid w:val="00661E39"/>
    <w:rsid w:val="00677016"/>
    <w:rsid w:val="00677D29"/>
    <w:rsid w:val="0069747F"/>
    <w:rsid w:val="006A311F"/>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0F61"/>
    <w:rsid w:val="00A07762"/>
    <w:rsid w:val="00A27A75"/>
    <w:rsid w:val="00A94370"/>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4141</Characters>
  <Application>Microsoft Office Word</Application>
  <DocSecurity>0</DocSecurity>
  <Lines>172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2025-11-10T06:19:00Z</dcterms:created>
  <dcterms:modified xsi:type="dcterms:W3CDTF">2026-02-18T12:17:00Z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